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F6" w:rsidRPr="00535945" w:rsidRDefault="00535945" w:rsidP="00535945">
      <w:pPr>
        <w:jc w:val="center"/>
        <w:rPr>
          <w:b/>
          <w:i/>
          <w:sz w:val="120"/>
          <w:szCs w:val="120"/>
          <w:u w:val="single"/>
        </w:rPr>
      </w:pPr>
      <w:r w:rsidRPr="00535945">
        <w:rPr>
          <w:b/>
          <w:i/>
          <w:sz w:val="120"/>
          <w:szCs w:val="120"/>
          <w:u w:val="single"/>
        </w:rPr>
        <w:t>Kolonialismus</w:t>
      </w:r>
    </w:p>
    <w:p w:rsidR="00535945" w:rsidRPr="00535945" w:rsidRDefault="00535945" w:rsidP="0053594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5945">
        <w:rPr>
          <w:sz w:val="28"/>
          <w:szCs w:val="28"/>
        </w:rPr>
        <w:t>snaha evropských velmocí o ovládnutí mimoevropského území</w:t>
      </w:r>
    </w:p>
    <w:p w:rsidR="00535945" w:rsidRDefault="00535945" w:rsidP="0053594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5945">
        <w:rPr>
          <w:sz w:val="28"/>
          <w:szCs w:val="28"/>
        </w:rPr>
        <w:t xml:space="preserve">příčiny: územní zisk, </w:t>
      </w:r>
      <w:proofErr w:type="spellStart"/>
      <w:r w:rsidRPr="00535945">
        <w:rPr>
          <w:sz w:val="28"/>
          <w:szCs w:val="28"/>
        </w:rPr>
        <w:t>vojensko</w:t>
      </w:r>
      <w:proofErr w:type="spellEnd"/>
      <w:r w:rsidRPr="00535945">
        <w:rPr>
          <w:sz w:val="28"/>
          <w:szCs w:val="28"/>
        </w:rPr>
        <w:t xml:space="preserve"> – strategický význam, zdroj surovin, levná pracovní síla, odbytiště pro výrobky</w:t>
      </w:r>
    </w:p>
    <w:p w:rsidR="00535945" w:rsidRDefault="00220901" w:rsidP="00535945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257.8pt;margin-top:111.4pt;width:103.95pt;height:114.55pt;rotation:6243878fd;z-index:251661312" fillcolor="#c0504d [3205]" strokecolor="#f2f2f2 [3041]" strokeweight="3pt">
            <v:shadow on="t" type="perspective" color="#622423 [1605]" opacity=".5" offset="1pt" offset2="-1pt"/>
            <v:textbox>
              <w:txbxContent>
                <w:p w:rsidR="00220901" w:rsidRDefault="00220901" w:rsidP="00220901">
                  <w:pPr>
                    <w:jc w:val="center"/>
                    <w:rPr>
                      <w:sz w:val="30"/>
                      <w:szCs w:val="30"/>
                    </w:rPr>
                  </w:pPr>
                </w:p>
                <w:p w:rsidR="00220901" w:rsidRPr="00220901" w:rsidRDefault="00220901" w:rsidP="00220901">
                  <w:pPr>
                    <w:jc w:val="center"/>
                    <w:rPr>
                      <w:sz w:val="30"/>
                      <w:szCs w:val="30"/>
                    </w:rPr>
                  </w:pPr>
                  <w:r w:rsidRPr="00220901">
                    <w:rPr>
                      <w:sz w:val="30"/>
                      <w:szCs w:val="30"/>
                    </w:rPr>
                    <w:t>Výrobky</w:t>
                  </w:r>
                </w:p>
              </w:txbxContent>
            </v:textbox>
          </v:shape>
        </w:pict>
      </w:r>
      <w:r w:rsidR="00535945">
        <w:rPr>
          <w:noProof/>
          <w:sz w:val="28"/>
          <w:szCs w:val="28"/>
          <w:lang w:eastAsia="cs-CZ"/>
        </w:rPr>
        <w:pict>
          <v:shape id="_x0000_s1028" type="#_x0000_t13" style="position:absolute;left:0;text-align:left;margin-left:110.3pt;margin-top:77.45pt;width:181.85pt;height:45.7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535945" w:rsidRPr="00535945" w:rsidRDefault="00220901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</w:t>
                  </w:r>
                  <w:r w:rsidR="00535945">
                    <w:rPr>
                      <w:sz w:val="30"/>
                      <w:szCs w:val="30"/>
                    </w:rPr>
                    <w:t>S</w:t>
                  </w:r>
                  <w:r w:rsidR="00535945" w:rsidRPr="00535945">
                    <w:rPr>
                      <w:sz w:val="30"/>
                      <w:szCs w:val="30"/>
                    </w:rPr>
                    <w:t>uroviny</w:t>
                  </w:r>
                </w:p>
              </w:txbxContent>
            </v:textbox>
          </v:shape>
        </w:pict>
      </w:r>
      <w:r w:rsidR="00535945">
        <w:rPr>
          <w:noProof/>
          <w:sz w:val="28"/>
          <w:szCs w:val="28"/>
          <w:lang w:eastAsia="cs-CZ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110.3pt;margin-top:143.05pt;width:148.3pt;height:63.75pt;rotation:1931157fd;z-index:2516592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535945" w:rsidRPr="00535945" w:rsidRDefault="00220901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</w:t>
                  </w:r>
                  <w:r w:rsidR="00535945">
                    <w:rPr>
                      <w:sz w:val="30"/>
                      <w:szCs w:val="30"/>
                    </w:rPr>
                    <w:t>Otroci</w:t>
                  </w:r>
                </w:p>
              </w:txbxContent>
            </v:textbox>
          </v:shape>
        </w:pict>
      </w:r>
      <w:r w:rsidR="00535945">
        <w:rPr>
          <w:noProof/>
          <w:sz w:val="28"/>
          <w:szCs w:val="28"/>
          <w:lang w:eastAsia="cs-CZ"/>
        </w:rPr>
        <w:drawing>
          <wp:inline distT="0" distB="0" distL="0" distR="0">
            <wp:extent cx="5762625" cy="3200400"/>
            <wp:effectExtent l="19050" t="0" r="9525" b="0"/>
            <wp:docPr id="1" name="Obrázek 0" descr="map-1024x6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1024x610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01" w:rsidRDefault="00220901" w:rsidP="00220901">
      <w:pPr>
        <w:pStyle w:val="Odstavecseseznamem"/>
        <w:rPr>
          <w:b/>
          <w:sz w:val="40"/>
          <w:szCs w:val="40"/>
          <w:u w:val="single"/>
        </w:rPr>
      </w:pPr>
    </w:p>
    <w:p w:rsidR="00535945" w:rsidRPr="00220901" w:rsidRDefault="00220901" w:rsidP="00220901">
      <w:pPr>
        <w:pStyle w:val="Odstavecsesezname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</w:t>
      </w:r>
      <w:r w:rsidRPr="00220901">
        <w:rPr>
          <w:b/>
          <w:sz w:val="40"/>
          <w:szCs w:val="40"/>
          <w:u w:val="single"/>
        </w:rPr>
        <w:t>ůsledky:</w:t>
      </w:r>
    </w:p>
    <w:p w:rsidR="00220901" w:rsidRDefault="00220901" w:rsidP="0022090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+ lékařská péče</w:t>
      </w:r>
    </w:p>
    <w:p w:rsidR="00220901" w:rsidRDefault="00220901" w:rsidP="0022090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+ evropská vzdělanost, rozšíření gramotnosti</w:t>
      </w:r>
    </w:p>
    <w:p w:rsidR="00220901" w:rsidRDefault="00220901" w:rsidP="002209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ztráta kultury, </w:t>
      </w:r>
      <w:proofErr w:type="spellStart"/>
      <w:r>
        <w:rPr>
          <w:sz w:val="28"/>
          <w:szCs w:val="28"/>
        </w:rPr>
        <w:t>eurocentrialismus</w:t>
      </w:r>
      <w:proofErr w:type="spellEnd"/>
      <w:r>
        <w:rPr>
          <w:sz w:val="28"/>
          <w:szCs w:val="28"/>
        </w:rPr>
        <w:t xml:space="preserve"> – vše má být jako v Evropě, jinak je to špatné (</w:t>
      </w:r>
      <w:proofErr w:type="spellStart"/>
      <w:r>
        <w:rPr>
          <w:sz w:val="28"/>
          <w:szCs w:val="28"/>
        </w:rPr>
        <w:t>racismus</w:t>
      </w:r>
      <w:proofErr w:type="spellEnd"/>
      <w:r>
        <w:rPr>
          <w:sz w:val="28"/>
          <w:szCs w:val="28"/>
        </w:rPr>
        <w:t>)</w:t>
      </w:r>
    </w:p>
    <w:p w:rsidR="00220901" w:rsidRPr="00535945" w:rsidRDefault="00220901" w:rsidP="002209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evropské velmoci: Anglie (Indie), Francie (Indočína), Španělsko (J. Amerika), Portugalsko (Brazílie), Holandsko (s. Afrika)</w:t>
      </w:r>
    </w:p>
    <w:sectPr w:rsidR="00220901" w:rsidRPr="00535945" w:rsidSect="00A1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2398"/>
    <w:multiLevelType w:val="hybridMultilevel"/>
    <w:tmpl w:val="4F225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B6711"/>
    <w:multiLevelType w:val="hybridMultilevel"/>
    <w:tmpl w:val="26F83AA0"/>
    <w:lvl w:ilvl="0" w:tplc="25DA9D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945"/>
    <w:rsid w:val="00220901"/>
    <w:rsid w:val="00535945"/>
    <w:rsid w:val="00A127F6"/>
    <w:rsid w:val="00C1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7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2018-08-29T16:17:00Z</dcterms:created>
  <dcterms:modified xsi:type="dcterms:W3CDTF">2018-08-29T17:14:00Z</dcterms:modified>
</cp:coreProperties>
</file>